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98" w:rsidRDefault="00303B98" w:rsidP="00303B98">
      <w:pPr>
        <w:ind w:left="-567" w:right="-801"/>
        <w:rPr>
          <w:rFonts w:ascii="Arial" w:hAnsi="Arial" w:cs="Arial"/>
          <w:b/>
          <w:sz w:val="24"/>
          <w:szCs w:val="24"/>
        </w:rPr>
      </w:pPr>
      <w:r w:rsidRPr="005359E3">
        <w:rPr>
          <w:rFonts w:ascii="Arial" w:hAnsi="Arial" w:cs="Arial"/>
          <w:b/>
          <w:sz w:val="24"/>
          <w:szCs w:val="24"/>
        </w:rPr>
        <w:t xml:space="preserve">Tabla 1: Identificación de los componentes del sistema NADPH oxidasa </w:t>
      </w:r>
    </w:p>
    <w:p w:rsidR="00303B98" w:rsidRPr="005359E3" w:rsidRDefault="00303B98" w:rsidP="00303B98">
      <w:pPr>
        <w:ind w:left="-567" w:right="-801"/>
        <w:rPr>
          <w:rFonts w:ascii="Arial" w:hAnsi="Arial" w:cs="Arial"/>
          <w:b/>
          <w:sz w:val="24"/>
          <w:szCs w:val="24"/>
        </w:rPr>
      </w:pPr>
    </w:p>
    <w:tbl>
      <w:tblPr>
        <w:tblW w:w="9997" w:type="dxa"/>
        <w:tblInd w:w="-675" w:type="dxa"/>
        <w:tbl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single" w:sz="8" w:space="0" w:color="9F8AB9"/>
          <w:insideV w:val="single" w:sz="8" w:space="0" w:color="9F8AB9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1276"/>
        <w:gridCol w:w="1276"/>
        <w:gridCol w:w="708"/>
        <w:gridCol w:w="1418"/>
        <w:gridCol w:w="992"/>
        <w:gridCol w:w="1134"/>
        <w:gridCol w:w="1134"/>
        <w:gridCol w:w="1134"/>
      </w:tblGrid>
      <w:tr w:rsidR="00303B98" w:rsidRPr="003A2A5F" w:rsidTr="003A2A5F">
        <w:tc>
          <w:tcPr>
            <w:tcW w:w="925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>Proteína</w:t>
            </w:r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>Ubicación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 xml:space="preserve"> </w:t>
            </w: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>Celular</w:t>
            </w:r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>Aminoácidos</w:t>
            </w:r>
          </w:p>
        </w:tc>
        <w:tc>
          <w:tcPr>
            <w:tcW w:w="70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 xml:space="preserve">Gen </w:t>
            </w:r>
          </w:p>
        </w:tc>
        <w:tc>
          <w:tcPr>
            <w:tcW w:w="141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>Ubicación cromosómica del gen</w:t>
            </w:r>
          </w:p>
        </w:tc>
        <w:tc>
          <w:tcPr>
            <w:tcW w:w="992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>Tamaño del gen (Kb)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 xml:space="preserve">Número de exones 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 xml:space="preserve">Patrón de herencia 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>P</w:t>
            </w:r>
            <w:r w:rsidRPr="003A2A5F">
              <w:rPr>
                <w:rFonts w:ascii="Arial Narrow" w:hAnsi="Arial Narrow" w:cs="Arial"/>
                <w:b/>
                <w:bCs/>
                <w:sz w:val="20"/>
                <w:szCs w:val="20"/>
                <w:lang w:val="es-ES_tradnl" w:eastAsia="en-US"/>
              </w:rPr>
              <w:t>acientes afectados</w:t>
            </w:r>
          </w:p>
        </w:tc>
      </w:tr>
      <w:tr w:rsidR="00303B98" w:rsidRPr="003A2A5F" w:rsidTr="003A2A5F">
        <w:tc>
          <w:tcPr>
            <w:tcW w:w="925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  <w:t>gp91</w:t>
            </w: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vertAlign w:val="superscript"/>
                <w:lang w:val="es-ES_tradnl" w:eastAsia="en-US"/>
              </w:rPr>
              <w:t>phox</w:t>
            </w:r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Membrana</w:t>
            </w:r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570</w:t>
            </w:r>
          </w:p>
        </w:tc>
        <w:tc>
          <w:tcPr>
            <w:tcW w:w="70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  <w:t>CYBB</w:t>
            </w:r>
          </w:p>
        </w:tc>
        <w:tc>
          <w:tcPr>
            <w:tcW w:w="141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Xp21.1</w:t>
            </w:r>
          </w:p>
        </w:tc>
        <w:tc>
          <w:tcPr>
            <w:tcW w:w="992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30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13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Ligado al X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70%</w:t>
            </w:r>
          </w:p>
        </w:tc>
      </w:tr>
      <w:tr w:rsidR="00303B98" w:rsidRPr="003A2A5F" w:rsidTr="003A2A5F">
        <w:tc>
          <w:tcPr>
            <w:tcW w:w="925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  <w:t>p22</w:t>
            </w: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vertAlign w:val="superscript"/>
                <w:lang w:val="es-ES_tradnl" w:eastAsia="en-US"/>
              </w:rPr>
              <w:t>phox</w:t>
            </w:r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Membrana</w:t>
            </w:r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195</w:t>
            </w:r>
          </w:p>
        </w:tc>
        <w:tc>
          <w:tcPr>
            <w:tcW w:w="70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  <w:t>CYBA</w:t>
            </w:r>
          </w:p>
        </w:tc>
        <w:tc>
          <w:tcPr>
            <w:tcW w:w="141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16q24</w:t>
            </w:r>
          </w:p>
        </w:tc>
        <w:tc>
          <w:tcPr>
            <w:tcW w:w="992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8,5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6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AR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5%</w:t>
            </w:r>
          </w:p>
        </w:tc>
      </w:tr>
      <w:tr w:rsidR="00303B98" w:rsidRPr="003A2A5F" w:rsidTr="003A2A5F">
        <w:tc>
          <w:tcPr>
            <w:tcW w:w="925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  <w:t>p47</w:t>
            </w: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vertAlign w:val="superscript"/>
                <w:lang w:val="es-ES_tradnl" w:eastAsia="en-US"/>
              </w:rPr>
              <w:t>phox</w:t>
            </w:r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proofErr w:type="spellStart"/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Citosol</w:t>
            </w:r>
            <w:proofErr w:type="spellEnd"/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390</w:t>
            </w:r>
          </w:p>
        </w:tc>
        <w:tc>
          <w:tcPr>
            <w:tcW w:w="70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  <w:t>NCF1</w:t>
            </w:r>
          </w:p>
        </w:tc>
        <w:tc>
          <w:tcPr>
            <w:tcW w:w="141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7q11.23</w:t>
            </w:r>
          </w:p>
        </w:tc>
        <w:tc>
          <w:tcPr>
            <w:tcW w:w="992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15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11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AR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20%</w:t>
            </w:r>
          </w:p>
        </w:tc>
      </w:tr>
      <w:tr w:rsidR="00303B98" w:rsidRPr="003A2A5F" w:rsidTr="003A2A5F">
        <w:tc>
          <w:tcPr>
            <w:tcW w:w="925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  <w:t>p67</w:t>
            </w: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vertAlign w:val="superscript"/>
                <w:lang w:val="es-ES_tradnl" w:eastAsia="en-US"/>
              </w:rPr>
              <w:t>phox</w:t>
            </w:r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proofErr w:type="spellStart"/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Citosol</w:t>
            </w:r>
            <w:proofErr w:type="spellEnd"/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526</w:t>
            </w:r>
          </w:p>
        </w:tc>
        <w:tc>
          <w:tcPr>
            <w:tcW w:w="70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  <w:t>NCF2</w:t>
            </w:r>
          </w:p>
        </w:tc>
        <w:tc>
          <w:tcPr>
            <w:tcW w:w="141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1q25</w:t>
            </w:r>
          </w:p>
        </w:tc>
        <w:tc>
          <w:tcPr>
            <w:tcW w:w="992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40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16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AR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5%</w:t>
            </w:r>
          </w:p>
        </w:tc>
      </w:tr>
      <w:tr w:rsidR="00303B98" w:rsidRPr="003A2A5F" w:rsidTr="003A2A5F">
        <w:tc>
          <w:tcPr>
            <w:tcW w:w="925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val="es-ES_tradnl" w:eastAsia="en-US"/>
              </w:rPr>
              <w:t>p40</w:t>
            </w:r>
            <w:r w:rsidRPr="003A2A5F">
              <w:rPr>
                <w:rFonts w:ascii="Arial Narrow" w:hAnsi="Arial Narrow" w:cs="Arial"/>
                <w:b/>
                <w:bCs/>
                <w:i/>
                <w:sz w:val="20"/>
                <w:szCs w:val="20"/>
                <w:vertAlign w:val="superscript"/>
                <w:lang w:val="es-ES_tradnl" w:eastAsia="en-US"/>
              </w:rPr>
              <w:t>phox</w:t>
            </w:r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proofErr w:type="spellStart"/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Citosol</w:t>
            </w:r>
            <w:proofErr w:type="spellEnd"/>
          </w:p>
        </w:tc>
        <w:tc>
          <w:tcPr>
            <w:tcW w:w="127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339</w:t>
            </w:r>
          </w:p>
        </w:tc>
        <w:tc>
          <w:tcPr>
            <w:tcW w:w="70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i/>
                <w:sz w:val="20"/>
                <w:szCs w:val="20"/>
                <w:lang w:val="es-ES_tradnl" w:eastAsia="en-US"/>
              </w:rPr>
              <w:t>NCF4</w:t>
            </w:r>
          </w:p>
        </w:tc>
        <w:tc>
          <w:tcPr>
            <w:tcW w:w="1418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22q13.1</w:t>
            </w:r>
          </w:p>
        </w:tc>
        <w:tc>
          <w:tcPr>
            <w:tcW w:w="992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18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10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AR</w:t>
            </w:r>
          </w:p>
        </w:tc>
        <w:tc>
          <w:tcPr>
            <w:tcW w:w="1134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vAlign w:val="center"/>
            <w:hideMark/>
          </w:tcPr>
          <w:p w:rsidR="00303B98" w:rsidRPr="003A2A5F" w:rsidRDefault="00303B98" w:rsidP="003A2A5F">
            <w:pPr>
              <w:jc w:val="center"/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</w:pPr>
            <w:r w:rsidRPr="003A2A5F">
              <w:rPr>
                <w:rFonts w:ascii="Arial Narrow" w:hAnsi="Arial Narrow" w:cs="Arial"/>
                <w:sz w:val="20"/>
                <w:szCs w:val="20"/>
                <w:lang w:val="es-ES_tradnl" w:eastAsia="en-US"/>
              </w:rPr>
              <w:t>1 caso reportado</w:t>
            </w:r>
          </w:p>
        </w:tc>
        <w:bookmarkStart w:id="0" w:name="_GoBack"/>
        <w:bookmarkEnd w:id="0"/>
      </w:tr>
    </w:tbl>
    <w:p w:rsidR="00303B98" w:rsidRPr="003A2A5F" w:rsidRDefault="00303B98" w:rsidP="00303B98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3A2A5F">
        <w:rPr>
          <w:rFonts w:ascii="Arial" w:hAnsi="Arial" w:cs="Arial"/>
          <w:sz w:val="20"/>
          <w:szCs w:val="20"/>
          <w:lang w:val="es-ES_tradnl"/>
        </w:rPr>
        <w:t>AR: Autosómico Recesivo</w:t>
      </w:r>
    </w:p>
    <w:p w:rsidR="001D06DA" w:rsidRDefault="00303B98"/>
    <w:sectPr w:rsidR="001D06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98"/>
    <w:rsid w:val="00303B98"/>
    <w:rsid w:val="00B3464E"/>
    <w:rsid w:val="00B972F9"/>
    <w:rsid w:val="00C6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98"/>
    <w:rPr>
      <w:rFonts w:ascii="Calibri" w:eastAsia="MS ??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98"/>
    <w:rPr>
      <w:rFonts w:ascii="Calibri" w:eastAsia="MS ??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Monitor IDP</dc:creator>
  <cp:lastModifiedBy>Monitor IDP</cp:lastModifiedBy>
  <cp:revision>1</cp:revision>
  <dcterms:created xsi:type="dcterms:W3CDTF">2015-03-26T16:31:00Z</dcterms:created>
  <dcterms:modified xsi:type="dcterms:W3CDTF">2015-03-26T16:32:00Z</dcterms:modified>
</cp:coreProperties>
</file>